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806" w:type="dxa"/>
        <w:jc w:val="center"/>
        <w:tblLayout w:type="fixed"/>
        <w:tblCellMar>
          <w:top w:w="15" w:type="dxa"/>
          <w:left w:w="15" w:type="dxa"/>
          <w:bottom w:w="15" w:type="dxa"/>
          <w:right w:w="15" w:type="dxa"/>
        </w:tblCellMar>
      </w:tblPr>
      <w:tblGrid>
        <w:gridCol w:w="9806"/>
      </w:tblGrid>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ind w:left="42" w:leftChars="20" w:right="42" w:rightChars="20" w:firstLine="241" w:firstLineChars="100"/>
              <w:jc w:val="center"/>
              <w:rPr>
                <w:rFonts w:hint="eastAsia" w:ascii="宋体" w:hAnsi="宋体" w:cs="宋体"/>
                <w:b/>
                <w:kern w:val="0"/>
                <w:sz w:val="24"/>
                <w:highlight w:val="none"/>
                <w:lang w:bidi="ar"/>
              </w:rPr>
            </w:pPr>
            <w:bookmarkStart w:id="0" w:name="_GoBack"/>
            <w:r>
              <w:rPr>
                <w:rFonts w:hint="eastAsia" w:ascii="宋体" w:hAnsi="宋体" w:cs="宋体"/>
                <w:b/>
                <w:kern w:val="0"/>
                <w:sz w:val="24"/>
                <w:highlight w:val="none"/>
                <w:u w:val="single"/>
                <w:lang w:bidi="ar"/>
              </w:rPr>
              <w:t>嘉兴市市区快速路环线工程（三期一阶段）交通协管人员服务</w:t>
            </w:r>
            <w:r>
              <w:rPr>
                <w:rFonts w:hint="eastAsia" w:ascii="宋体" w:hAnsi="宋体" w:cs="宋体"/>
                <w:b/>
                <w:kern w:val="0"/>
                <w:sz w:val="24"/>
                <w:highlight w:val="none"/>
                <w:lang w:bidi="ar"/>
              </w:rPr>
              <w:t>（项目名称）</w:t>
            </w:r>
          </w:p>
          <w:p>
            <w:pPr>
              <w:widowControl/>
              <w:spacing w:line="360" w:lineRule="auto"/>
              <w:jc w:val="center"/>
              <w:rPr>
                <w:rFonts w:hint="eastAsia" w:ascii="宋体" w:hAnsi="宋体" w:cs="宋体"/>
                <w:b/>
                <w:kern w:val="0"/>
                <w:szCs w:val="21"/>
                <w:highlight w:val="none"/>
                <w:lang w:bidi="ar"/>
              </w:rPr>
            </w:pPr>
            <w:r>
              <w:rPr>
                <w:rFonts w:hint="eastAsia" w:ascii="宋体" w:hAnsi="宋体" w:cs="宋体"/>
                <w:b/>
                <w:kern w:val="0"/>
                <w:sz w:val="24"/>
                <w:highlight w:val="none"/>
                <w:lang w:bidi="ar"/>
              </w:rPr>
              <w:t>招标公告</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b/>
                <w:szCs w:val="21"/>
                <w:highlight w:val="none"/>
              </w:rPr>
            </w:pPr>
            <w:r>
              <w:rPr>
                <w:rFonts w:hint="eastAsia" w:ascii="宋体" w:hAnsi="宋体" w:cs="宋体"/>
                <w:b/>
                <w:kern w:val="0"/>
                <w:szCs w:val="21"/>
                <w:highlight w:val="none"/>
                <w:lang w:bidi="ar"/>
              </w:rPr>
              <w:t>1. 招标条件</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 xml:space="preserve">  本招标项目 </w:t>
            </w:r>
            <w:r>
              <w:rPr>
                <w:rFonts w:hint="eastAsia" w:ascii="宋体" w:hAnsi="宋体" w:cs="宋体"/>
                <w:kern w:val="0"/>
                <w:szCs w:val="21"/>
                <w:highlight w:val="none"/>
                <w:u w:val="single"/>
                <w:lang w:bidi="ar"/>
              </w:rPr>
              <w:t>嘉兴市市区快速路环线工程（三期一阶段）交通协管人员服务</w:t>
            </w:r>
            <w:r>
              <w:rPr>
                <w:rFonts w:hint="eastAsia" w:ascii="宋体" w:hAnsi="宋体" w:cs="宋体"/>
                <w:kern w:val="0"/>
                <w:szCs w:val="21"/>
                <w:highlight w:val="none"/>
                <w:lang w:bidi="ar"/>
              </w:rPr>
              <w:t>（项目名称）；全省统一赋码：</w:t>
            </w:r>
            <w:r>
              <w:rPr>
                <w:rFonts w:hint="eastAsia" w:ascii="宋体" w:hAnsi="宋体" w:cs="宋体"/>
                <w:kern w:val="0"/>
                <w:szCs w:val="21"/>
                <w:highlight w:val="none"/>
                <w:u w:val="single"/>
                <w:lang w:bidi="ar"/>
              </w:rPr>
              <w:t>2018-330400-48-01-058065-000</w:t>
            </w:r>
            <w:r>
              <w:rPr>
                <w:rFonts w:hint="eastAsia" w:ascii="宋体" w:hAnsi="宋体" w:cs="宋体"/>
                <w:kern w:val="0"/>
                <w:szCs w:val="21"/>
                <w:highlight w:val="none"/>
                <w:lang w:bidi="ar"/>
              </w:rPr>
              <w:t xml:space="preserve"> ；已由 </w:t>
            </w:r>
            <w:r>
              <w:rPr>
                <w:rFonts w:hint="eastAsia" w:ascii="宋体" w:hAnsi="宋体" w:cs="宋体"/>
                <w:kern w:val="0"/>
                <w:szCs w:val="21"/>
                <w:highlight w:val="none"/>
                <w:u w:val="single"/>
                <w:lang w:bidi="ar"/>
              </w:rPr>
              <w:t>嘉兴市发展和改革委员会</w:t>
            </w:r>
            <w:r>
              <w:rPr>
                <w:rFonts w:hint="eastAsia" w:ascii="宋体" w:hAnsi="宋体" w:cs="宋体"/>
                <w:kern w:val="0"/>
                <w:szCs w:val="21"/>
                <w:highlight w:val="none"/>
                <w:lang w:bidi="ar"/>
              </w:rPr>
              <w:t xml:space="preserve"> （项目审批、核准或备案机关名称）以 </w:t>
            </w:r>
            <w:r>
              <w:rPr>
                <w:rFonts w:hint="eastAsia" w:ascii="宋体" w:hAnsi="宋体" w:cs="宋体"/>
                <w:kern w:val="0"/>
                <w:szCs w:val="21"/>
                <w:highlight w:val="none"/>
                <w:u w:val="single"/>
                <w:lang w:bidi="ar"/>
              </w:rPr>
              <w:t>嘉发改〔2021〕179号</w:t>
            </w:r>
            <w:r>
              <w:rPr>
                <w:rFonts w:hint="eastAsia" w:ascii="宋体" w:hAnsi="宋体" w:cs="宋体"/>
                <w:kern w:val="0"/>
                <w:szCs w:val="21"/>
                <w:highlight w:val="none"/>
                <w:lang w:bidi="ar"/>
              </w:rPr>
              <w:t>（批文名称及编号）批准建设，建设资金来自</w:t>
            </w:r>
            <w:r>
              <w:rPr>
                <w:rFonts w:hint="eastAsia" w:ascii="宋体" w:hAnsi="宋体" w:cs="宋体"/>
                <w:kern w:val="0"/>
                <w:szCs w:val="21"/>
                <w:highlight w:val="none"/>
                <w:u w:val="single"/>
                <w:lang w:bidi="ar"/>
              </w:rPr>
              <w:t>财政</w:t>
            </w:r>
            <w:r>
              <w:rPr>
                <w:rFonts w:hint="eastAsia" w:ascii="宋体" w:hAnsi="宋体" w:cs="宋体"/>
                <w:kern w:val="0"/>
                <w:szCs w:val="21"/>
                <w:highlight w:val="none"/>
                <w:lang w:bidi="ar"/>
              </w:rPr>
              <w:t xml:space="preserve"> （资金来源），招标人为</w:t>
            </w:r>
            <w:r>
              <w:rPr>
                <w:rFonts w:hint="eastAsia" w:ascii="宋体" w:hAnsi="宋体" w:cs="宋体"/>
                <w:kern w:val="0"/>
                <w:szCs w:val="21"/>
                <w:highlight w:val="none"/>
                <w:u w:val="single"/>
                <w:lang w:bidi="ar"/>
              </w:rPr>
              <w:t>嘉兴市快速路建设发展有限公司</w:t>
            </w:r>
            <w:r>
              <w:rPr>
                <w:rFonts w:hint="eastAsia" w:ascii="宋体" w:hAnsi="宋体" w:cs="宋体"/>
                <w:kern w:val="0"/>
                <w:szCs w:val="21"/>
                <w:highlight w:val="none"/>
                <w:lang w:bidi="ar"/>
              </w:rPr>
              <w:t xml:space="preserve">。项目已具备招标条件，现对该项目的施工进行公开招标。 </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b/>
                <w:szCs w:val="21"/>
                <w:highlight w:val="none"/>
              </w:rPr>
            </w:pPr>
            <w:r>
              <w:rPr>
                <w:rFonts w:hint="eastAsia" w:ascii="宋体" w:hAnsi="宋体" w:cs="宋体"/>
                <w:b/>
                <w:kern w:val="0"/>
                <w:szCs w:val="21"/>
                <w:highlight w:val="none"/>
                <w:lang w:bidi="ar"/>
              </w:rPr>
              <w:t>2. 项目概况与招标范围</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val="en-US" w:eastAsia="zh-CN" w:bidi="ar"/>
              </w:rPr>
              <w:t xml:space="preserve">2.1  </w:t>
            </w:r>
            <w:r>
              <w:rPr>
                <w:rFonts w:hint="eastAsia" w:ascii="宋体" w:hAnsi="宋体" w:cs="宋体"/>
                <w:kern w:val="0"/>
                <w:szCs w:val="21"/>
                <w:highlight w:val="none"/>
                <w:lang w:bidi="ar"/>
              </w:rPr>
              <w:t>总投资：</w:t>
            </w:r>
            <w:r>
              <w:rPr>
                <w:rFonts w:ascii="宋体" w:hAnsi="宋体" w:cs="宋体"/>
                <w:kern w:val="0"/>
                <w:szCs w:val="21"/>
                <w:highlight w:val="none"/>
                <w:u w:val="single"/>
                <w:lang w:bidi="ar"/>
              </w:rPr>
              <w:t>268345.97</w:t>
            </w:r>
            <w:r>
              <w:rPr>
                <w:rFonts w:hint="eastAsia" w:ascii="宋体" w:hAnsi="宋体" w:cs="宋体"/>
                <w:kern w:val="0"/>
                <w:szCs w:val="21"/>
                <w:highlight w:val="none"/>
                <w:lang w:bidi="ar"/>
              </w:rPr>
              <w:t>万元；招标估算价：</w:t>
            </w:r>
            <w:r>
              <w:rPr>
                <w:rFonts w:hint="eastAsia" w:ascii="宋体" w:hAnsi="宋体" w:cs="宋体"/>
                <w:kern w:val="0"/>
                <w:szCs w:val="21"/>
                <w:highlight w:val="none"/>
                <w:u w:val="single"/>
                <w:lang w:bidi="ar"/>
              </w:rPr>
              <w:t>800</w:t>
            </w:r>
            <w:r>
              <w:rPr>
                <w:rFonts w:hint="eastAsia" w:ascii="宋体" w:hAnsi="宋体" w:cs="宋体"/>
                <w:kern w:val="0"/>
                <w:szCs w:val="21"/>
                <w:highlight w:val="none"/>
                <w:lang w:bidi="ar"/>
              </w:rPr>
              <w:t xml:space="preserve">万元 </w:t>
            </w:r>
          </w:p>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2.</w:t>
            </w:r>
            <w:r>
              <w:rPr>
                <w:rFonts w:hint="eastAsia" w:ascii="宋体" w:hAnsi="宋体" w:cs="宋体"/>
                <w:kern w:val="0"/>
                <w:szCs w:val="21"/>
                <w:highlight w:val="none"/>
                <w:lang w:val="en-US" w:eastAsia="zh-CN" w:bidi="ar"/>
              </w:rPr>
              <w:t>2</w:t>
            </w:r>
            <w:r>
              <w:rPr>
                <w:rFonts w:hint="eastAsia" w:ascii="宋体" w:hAnsi="宋体" w:cs="宋体"/>
                <w:kern w:val="0"/>
                <w:szCs w:val="21"/>
                <w:highlight w:val="none"/>
                <w:lang w:bidi="ar"/>
              </w:rPr>
              <w:t> 建设地点：</w:t>
            </w:r>
            <w:r>
              <w:rPr>
                <w:rFonts w:hint="eastAsia" w:ascii="宋体" w:hAnsi="宋体" w:cs="宋体"/>
                <w:kern w:val="0"/>
                <w:szCs w:val="21"/>
                <w:highlight w:val="none"/>
                <w:u w:val="single"/>
                <w:lang w:bidi="ar"/>
              </w:rPr>
              <w:t>嘉兴市</w:t>
            </w:r>
            <w:r>
              <w:rPr>
                <w:rFonts w:hint="eastAsia" w:ascii="宋体" w:hAnsi="宋体" w:cs="宋体"/>
                <w:kern w:val="0"/>
                <w:szCs w:val="21"/>
                <w:highlight w:val="none"/>
                <w:lang w:bidi="ar"/>
              </w:rPr>
              <w:t xml:space="preserve"> </w:t>
            </w:r>
          </w:p>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2.</w:t>
            </w:r>
            <w:r>
              <w:rPr>
                <w:rFonts w:hint="eastAsia" w:ascii="宋体" w:hAnsi="宋体" w:cs="宋体"/>
                <w:kern w:val="0"/>
                <w:szCs w:val="21"/>
                <w:highlight w:val="none"/>
                <w:lang w:val="en-US" w:eastAsia="zh-CN" w:bidi="ar"/>
              </w:rPr>
              <w:t>3</w:t>
            </w:r>
            <w:r>
              <w:rPr>
                <w:rFonts w:hint="eastAsia" w:ascii="宋体" w:hAnsi="宋体" w:cs="宋体"/>
                <w:kern w:val="0"/>
                <w:szCs w:val="21"/>
                <w:highlight w:val="none"/>
                <w:lang w:bidi="ar"/>
              </w:rPr>
              <w:t> 建筑规模：</w:t>
            </w:r>
            <w:r>
              <w:rPr>
                <w:rFonts w:hint="eastAsia" w:ascii="宋体" w:hAnsi="宋体" w:cs="宋体"/>
                <w:kern w:val="0"/>
                <w:szCs w:val="21"/>
                <w:highlight w:val="none"/>
                <w:u w:val="single"/>
                <w:lang w:bidi="ar"/>
              </w:rPr>
              <w:t>项目新建高架快速路主线东升路至城东路段( K15+500 ~K21+345）及4 对上下匝道，总长约5.9千米，具体包括主线快速路系统及地面辅道系统。其中，主线快速路系统包括新建高架系统及4对上下匝道，快速路主线东升路-城东路段(K15+500-K21+345 )，总长约 5.9km；地面辅道系统：地面辅道东升路至周安路段（K15+849 ~K21+799 )，总长约6.0千米（含嘉兴市有轨电车二期工程与快速路共线段）。采用“主线高架+地面辅道”建设形式，主线标准段为双向6车道，匝道为单向2车道，地面辅道标准段为双向6+2车道，标准段红线宽度60米。</w:t>
            </w:r>
            <w:r>
              <w:rPr>
                <w:rFonts w:hint="eastAsia" w:ascii="宋体" w:hAnsi="宋体" w:cs="宋体"/>
                <w:kern w:val="0"/>
                <w:szCs w:val="21"/>
                <w:highlight w:val="none"/>
                <w:lang w:bidi="ar"/>
              </w:rPr>
              <w:t xml:space="preserve"> </w:t>
            </w:r>
          </w:p>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2.</w:t>
            </w:r>
            <w:r>
              <w:rPr>
                <w:rFonts w:hint="eastAsia" w:ascii="宋体" w:hAnsi="宋体" w:cs="宋体"/>
                <w:kern w:val="0"/>
                <w:szCs w:val="21"/>
                <w:highlight w:val="none"/>
                <w:lang w:val="en-US" w:eastAsia="zh-CN" w:bidi="ar"/>
              </w:rPr>
              <w:t>4</w:t>
            </w:r>
            <w:r>
              <w:rPr>
                <w:rFonts w:hint="eastAsia" w:ascii="宋体" w:hAnsi="宋体" w:cs="宋体"/>
                <w:kern w:val="0"/>
                <w:szCs w:val="21"/>
                <w:highlight w:val="none"/>
                <w:lang w:bidi="ar"/>
              </w:rPr>
              <w:t> 招标范围：</w:t>
            </w:r>
            <w:r>
              <w:rPr>
                <w:rFonts w:hint="eastAsia" w:ascii="宋体" w:hAnsi="宋体" w:cs="宋体"/>
                <w:kern w:val="0"/>
                <w:szCs w:val="21"/>
                <w:highlight w:val="none"/>
                <w:u w:val="single"/>
                <w:lang w:bidi="ar"/>
              </w:rPr>
              <w:t>主要内容包括为嘉兴市市区快速路环线工程（三期一阶段）提供交通协管人员服务，协助公安交管部门做好现场交通秩序维护。交通协管服务人员数为35人/年（不含项目负责人）。</w:t>
            </w:r>
          </w:p>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2.</w:t>
            </w:r>
            <w:r>
              <w:rPr>
                <w:rFonts w:hint="eastAsia" w:ascii="宋体" w:hAnsi="宋体" w:cs="宋体"/>
                <w:kern w:val="0"/>
                <w:szCs w:val="21"/>
                <w:highlight w:val="none"/>
                <w:lang w:val="en-US" w:eastAsia="zh-CN" w:bidi="ar"/>
              </w:rPr>
              <w:t>5</w:t>
            </w:r>
            <w:r>
              <w:rPr>
                <w:rFonts w:hint="eastAsia" w:ascii="宋体" w:hAnsi="宋体" w:cs="宋体"/>
                <w:kern w:val="0"/>
                <w:szCs w:val="21"/>
                <w:highlight w:val="none"/>
                <w:lang w:bidi="ar"/>
              </w:rPr>
              <w:t> 服务周期：</w:t>
            </w:r>
            <w:r>
              <w:rPr>
                <w:rFonts w:hint="eastAsia" w:ascii="宋体" w:hAnsi="宋体" w:cs="宋体"/>
                <w:kern w:val="0"/>
                <w:szCs w:val="21"/>
                <w:highlight w:val="none"/>
                <w:u w:val="single"/>
                <w:lang w:bidi="ar"/>
              </w:rPr>
              <w:t>3年</w:t>
            </w:r>
            <w:r>
              <w:rPr>
                <w:rFonts w:hint="eastAsia" w:ascii="宋体" w:hAnsi="宋体" w:cs="宋体"/>
                <w:kern w:val="0"/>
                <w:szCs w:val="21"/>
                <w:highlight w:val="none"/>
                <w:lang w:bidi="ar"/>
              </w:rPr>
              <w:t xml:space="preserve"> </w:t>
            </w:r>
          </w:p>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2.</w:t>
            </w:r>
            <w:r>
              <w:rPr>
                <w:rFonts w:hint="eastAsia" w:ascii="宋体" w:hAnsi="宋体" w:cs="宋体"/>
                <w:kern w:val="0"/>
                <w:szCs w:val="21"/>
                <w:highlight w:val="none"/>
                <w:lang w:val="en-US" w:eastAsia="zh-CN" w:bidi="ar"/>
              </w:rPr>
              <w:t>6</w:t>
            </w:r>
            <w:r>
              <w:rPr>
                <w:rFonts w:hint="eastAsia" w:ascii="宋体" w:hAnsi="宋体" w:cs="宋体"/>
                <w:kern w:val="0"/>
                <w:szCs w:val="21"/>
                <w:highlight w:val="none"/>
                <w:lang w:bidi="ar"/>
              </w:rPr>
              <w:t> 标段划分：</w:t>
            </w:r>
            <w:r>
              <w:rPr>
                <w:rFonts w:hint="eastAsia" w:ascii="宋体" w:hAnsi="宋体" w:cs="宋体"/>
                <w:kern w:val="0"/>
                <w:szCs w:val="21"/>
                <w:highlight w:val="none"/>
                <w:u w:val="single"/>
                <w:lang w:bidi="ar"/>
              </w:rPr>
              <w:t>1</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b/>
                <w:szCs w:val="21"/>
                <w:highlight w:val="none"/>
              </w:rPr>
            </w:pPr>
            <w:r>
              <w:rPr>
                <w:rFonts w:hint="eastAsia" w:ascii="宋体" w:hAnsi="宋体" w:cs="宋体"/>
                <w:b/>
                <w:kern w:val="0"/>
                <w:szCs w:val="21"/>
                <w:highlight w:val="none"/>
                <w:lang w:bidi="ar"/>
              </w:rPr>
              <w:t>3. 投标人资格要求</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kern w:val="0"/>
                <w:szCs w:val="21"/>
                <w:highlight w:val="none"/>
                <w:u w:val="single"/>
                <w:lang w:bidi="ar"/>
              </w:rPr>
            </w:pPr>
            <w:r>
              <w:rPr>
                <w:rFonts w:hint="eastAsia" w:ascii="宋体" w:hAnsi="宋体" w:cs="宋体"/>
                <w:kern w:val="0"/>
                <w:szCs w:val="21"/>
                <w:highlight w:val="none"/>
                <w:lang w:bidi="ar"/>
              </w:rPr>
              <w:t>3.1</w:t>
            </w:r>
            <w:r>
              <w:rPr>
                <w:rFonts w:hint="eastAsia" w:ascii="宋体" w:hAnsi="宋体" w:cs="宋体"/>
                <w:kern w:val="0"/>
                <w:szCs w:val="21"/>
                <w:highlight w:val="none"/>
                <w:lang w:val="en-US" w:eastAsia="zh-CN" w:bidi="ar"/>
              </w:rPr>
              <w:t xml:space="preserve">  </w:t>
            </w:r>
            <w:r>
              <w:rPr>
                <w:rFonts w:hint="eastAsia" w:ascii="宋体" w:hAnsi="宋体" w:cs="宋体"/>
                <w:kern w:val="0"/>
                <w:szCs w:val="21"/>
                <w:highlight w:val="none"/>
                <w:u w:val="single"/>
                <w:lang w:bidi="ar"/>
              </w:rPr>
              <w:t xml:space="preserve">本次招标要求投标人须具有独立法人资格。 </w:t>
            </w:r>
          </w:p>
          <w:p>
            <w:pPr>
              <w:widowControl/>
              <w:spacing w:line="360" w:lineRule="auto"/>
              <w:jc w:val="left"/>
              <w:rPr>
                <w:rFonts w:hint="eastAsia" w:ascii="宋体" w:hAnsi="宋体" w:cs="宋体"/>
                <w:kern w:val="0"/>
                <w:szCs w:val="21"/>
                <w:highlight w:val="none"/>
                <w:u w:val="single"/>
                <w:lang w:bidi="ar"/>
              </w:rPr>
            </w:pPr>
            <w:r>
              <w:rPr>
                <w:rFonts w:hint="eastAsia" w:ascii="宋体" w:hAnsi="宋体" w:cs="宋体"/>
                <w:kern w:val="0"/>
                <w:szCs w:val="21"/>
                <w:highlight w:val="none"/>
                <w:lang w:bidi="ar"/>
              </w:rPr>
              <w:t>3.</w:t>
            </w:r>
            <w:r>
              <w:rPr>
                <w:rFonts w:hint="eastAsia" w:ascii="宋体" w:hAnsi="宋体" w:cs="宋体"/>
                <w:kern w:val="0"/>
                <w:szCs w:val="21"/>
                <w:highlight w:val="none"/>
                <w:lang w:val="en-US" w:eastAsia="zh-CN" w:bidi="ar"/>
              </w:rPr>
              <w:t xml:space="preserve">2  </w:t>
            </w:r>
            <w:r>
              <w:rPr>
                <w:rFonts w:hint="eastAsia" w:ascii="宋体" w:hAnsi="宋体" w:cs="宋体"/>
                <w:kern w:val="0"/>
                <w:szCs w:val="21"/>
                <w:highlight w:val="none"/>
                <w:u w:val="single"/>
                <w:lang w:bidi="ar"/>
              </w:rPr>
              <w:t xml:space="preserve">2016年 7 月 1 日以来，投标人具有类似交通协管服务或物业管理业绩。(证明材料：合同。业绩时间以合同签订时间为准)。 </w:t>
            </w:r>
          </w:p>
          <w:p>
            <w:pPr>
              <w:widowControl/>
              <w:numPr>
                <w:ilvl w:val="0"/>
                <w:numId w:val="0"/>
              </w:numPr>
              <w:spacing w:line="360" w:lineRule="auto"/>
              <w:jc w:val="left"/>
              <w:rPr>
                <w:rFonts w:hint="eastAsia" w:ascii="宋体" w:hAnsi="宋体" w:cs="宋体"/>
                <w:kern w:val="0"/>
                <w:szCs w:val="21"/>
                <w:highlight w:val="none"/>
                <w:u w:val="single"/>
                <w:lang w:bidi="ar"/>
              </w:rPr>
            </w:pPr>
            <w:r>
              <w:rPr>
                <w:rFonts w:hint="eastAsia" w:ascii="宋体" w:hAnsi="宋体" w:cs="宋体"/>
                <w:kern w:val="0"/>
                <w:szCs w:val="21"/>
                <w:highlight w:val="none"/>
                <w:lang w:bidi="ar"/>
              </w:rPr>
              <w:t>3.</w:t>
            </w:r>
            <w:r>
              <w:rPr>
                <w:rFonts w:hint="eastAsia" w:ascii="宋体" w:hAnsi="宋体" w:cs="宋体"/>
                <w:kern w:val="0"/>
                <w:szCs w:val="21"/>
                <w:highlight w:val="none"/>
                <w:lang w:val="en-US" w:eastAsia="zh-CN" w:bidi="ar"/>
              </w:rPr>
              <w:t xml:space="preserve">3  </w:t>
            </w:r>
            <w:r>
              <w:rPr>
                <w:rFonts w:hint="eastAsia" w:ascii="宋体" w:hAnsi="宋体" w:cs="宋体"/>
                <w:kern w:val="0"/>
                <w:szCs w:val="21"/>
                <w:highlight w:val="none"/>
                <w:u w:val="single"/>
                <w:lang w:bidi="ar"/>
              </w:rPr>
              <w:t xml:space="preserve">本次招标不接受联合体投标。 </w:t>
            </w:r>
          </w:p>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3.</w:t>
            </w:r>
            <w:r>
              <w:rPr>
                <w:rFonts w:hint="eastAsia" w:ascii="宋体" w:hAnsi="宋体" w:cs="宋体"/>
                <w:kern w:val="0"/>
                <w:szCs w:val="21"/>
                <w:highlight w:val="none"/>
                <w:lang w:val="en-US" w:eastAsia="zh-CN" w:bidi="ar"/>
              </w:rPr>
              <w:t xml:space="preserve">4  </w:t>
            </w:r>
            <w:r>
              <w:rPr>
                <w:rFonts w:hint="eastAsia" w:ascii="宋体" w:hAnsi="宋体" w:cs="宋体"/>
                <w:kern w:val="0"/>
                <w:szCs w:val="21"/>
                <w:highlight w:val="none"/>
                <w:u w:val="single"/>
                <w:lang w:bidi="ar"/>
              </w:rPr>
              <w:t>其他条件：（1）投标人自2018年7月1日以来无行贿犯罪记录（招标人在定标前将通过中国裁判文书网（http://wenshu.court.gov.cn/）按照招标文件约定对拟中标单位有无行贿犯罪记录得情况进行查询，查询结果以网站页面显示内容为准。投标人无需提供查询件）。 （2）根据最高人民法院《关于在招标投标活动中对失信被执行人实施联合惩戒的通知》法〔2016〕285 号文规定，在投标截止时间前，投标人被列入失信被执行人名单的，将被取消投标资格（在投标截止时间前，投标人未被“信用中国”（</w:t>
            </w:r>
            <w:r>
              <w:rPr>
                <w:rFonts w:ascii="宋体" w:hAnsi="宋体" w:cs="宋体"/>
                <w:kern w:val="0"/>
                <w:szCs w:val="21"/>
                <w:highlight w:val="none"/>
                <w:u w:val="single"/>
                <w:lang w:bidi="ar"/>
              </w:rPr>
              <w:t>http://</w:t>
            </w:r>
            <w:r>
              <w:rPr>
                <w:rFonts w:hint="eastAsia" w:ascii="宋体" w:hAnsi="宋体" w:cs="宋体"/>
                <w:kern w:val="0"/>
                <w:szCs w:val="21"/>
                <w:highlight w:val="none"/>
                <w:u w:val="single"/>
                <w:lang w:bidi="ar"/>
              </w:rPr>
              <w:t>www.creditchina.gov.cn）和“信用中国（浙江）”网站（</w:t>
            </w:r>
            <w:r>
              <w:rPr>
                <w:rFonts w:ascii="宋体" w:hAnsi="宋体" w:cs="宋体"/>
                <w:kern w:val="0"/>
                <w:szCs w:val="21"/>
                <w:highlight w:val="none"/>
                <w:u w:val="single"/>
                <w:lang w:bidi="ar"/>
              </w:rPr>
              <w:t>http://</w:t>
            </w:r>
            <w:r>
              <w:rPr>
                <w:rFonts w:hint="eastAsia" w:ascii="宋体" w:hAnsi="宋体" w:cs="宋体"/>
                <w:kern w:val="0"/>
                <w:szCs w:val="21"/>
                <w:highlight w:val="none"/>
                <w:u w:val="single"/>
                <w:lang w:bidi="ar"/>
              </w:rPr>
              <w:t>www.credit.zj.gov.cn）列入严重违法失信行为记录黑名单）。 （3） 与招标人存在利害关系可能影响招标公正性的法人、其他组织或者个人，不得参加投标；单位负责人为同一人或者存在控股、管理关系的不同单位，不得参加同一标段投标，否则均按否决投标处理。（4）投标人必须承诺为本项目所提供的相关服务人员购买人身意外保险，年人均投保金额不少于20万元，否则作否决投标处理。</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b/>
                <w:szCs w:val="21"/>
                <w:highlight w:val="none"/>
              </w:rPr>
            </w:pPr>
            <w:r>
              <w:rPr>
                <w:rFonts w:hint="eastAsia" w:ascii="宋体" w:hAnsi="宋体" w:cs="宋体"/>
                <w:b/>
                <w:kern w:val="0"/>
                <w:szCs w:val="21"/>
                <w:highlight w:val="none"/>
                <w:lang w:bidi="ar"/>
              </w:rPr>
              <w:t>4. 资格审查方式</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本工程采用</w:t>
            </w:r>
            <w:r>
              <w:rPr>
                <w:rFonts w:hint="eastAsia" w:ascii="宋体" w:hAnsi="宋体" w:cs="宋体"/>
                <w:kern w:val="0"/>
                <w:szCs w:val="21"/>
                <w:highlight w:val="none"/>
                <w:u w:val="single"/>
                <w:lang w:bidi="ar"/>
              </w:rPr>
              <w:t>资格后审</w:t>
            </w:r>
            <w:r>
              <w:rPr>
                <w:rFonts w:hint="eastAsia" w:ascii="宋体" w:hAnsi="宋体" w:cs="宋体"/>
                <w:kern w:val="0"/>
                <w:szCs w:val="21"/>
                <w:highlight w:val="none"/>
                <w:lang w:bidi="ar"/>
              </w:rPr>
              <w:t>确定合格投标人；评标方法：</w:t>
            </w:r>
            <w:r>
              <w:rPr>
                <w:rFonts w:hint="eastAsia" w:ascii="宋体" w:hAnsi="宋体" w:cs="宋体"/>
                <w:kern w:val="0"/>
                <w:szCs w:val="21"/>
                <w:highlight w:val="none"/>
                <w:u w:val="single"/>
                <w:lang w:bidi="ar"/>
              </w:rPr>
              <w:t>综合评估法</w:t>
            </w:r>
            <w:r>
              <w:rPr>
                <w:rFonts w:hint="eastAsia" w:ascii="宋体" w:hAnsi="宋体" w:cs="宋体"/>
                <w:kern w:val="0"/>
                <w:szCs w:val="21"/>
                <w:highlight w:val="none"/>
                <w:lang w:bidi="ar"/>
              </w:rPr>
              <w:t xml:space="preserve">。 </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b/>
                <w:szCs w:val="21"/>
                <w:highlight w:val="none"/>
              </w:rPr>
            </w:pPr>
            <w:r>
              <w:rPr>
                <w:rFonts w:hint="eastAsia" w:ascii="宋体" w:hAnsi="宋体" w:cs="宋体"/>
                <w:b/>
                <w:kern w:val="0"/>
                <w:szCs w:val="21"/>
                <w:highlight w:val="none"/>
                <w:lang w:bidi="ar"/>
              </w:rPr>
              <w:t>5. 投标报名和招标文件的获取</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bidi="ar"/>
              </w:rPr>
              <w:t>5.1 凡有意参加投标者，请于2021年</w:t>
            </w:r>
            <w:r>
              <w:rPr>
                <w:rFonts w:hint="eastAsia" w:ascii="宋体" w:hAnsi="宋体" w:cs="宋体"/>
                <w:kern w:val="0"/>
                <w:szCs w:val="21"/>
                <w:highlight w:val="none"/>
                <w:lang w:val="en-US" w:eastAsia="zh-CN" w:bidi="ar"/>
              </w:rPr>
              <w:t>12</w:t>
            </w:r>
            <w:r>
              <w:rPr>
                <w:rFonts w:hint="eastAsia" w:ascii="宋体" w:hAnsi="宋体" w:cs="宋体"/>
                <w:kern w:val="0"/>
                <w:szCs w:val="21"/>
                <w:highlight w:val="none"/>
                <w:lang w:bidi="ar"/>
              </w:rPr>
              <w:t>月</w:t>
            </w:r>
            <w:r>
              <w:rPr>
                <w:rFonts w:hint="eastAsia" w:ascii="宋体" w:hAnsi="宋体" w:cs="宋体"/>
                <w:kern w:val="0"/>
                <w:szCs w:val="21"/>
                <w:highlight w:val="none"/>
                <w:lang w:val="en-US" w:eastAsia="zh-CN" w:bidi="ar"/>
              </w:rPr>
              <w:t>14</w:t>
            </w:r>
            <w:r>
              <w:rPr>
                <w:rFonts w:hint="eastAsia" w:ascii="宋体" w:hAnsi="宋体" w:cs="宋体"/>
                <w:kern w:val="0"/>
                <w:szCs w:val="21"/>
                <w:highlight w:val="none"/>
                <w:lang w:bidi="ar"/>
              </w:rPr>
              <w:t>日～2021年</w:t>
            </w:r>
            <w:r>
              <w:rPr>
                <w:rFonts w:hint="eastAsia" w:ascii="宋体" w:hAnsi="宋体" w:cs="宋体"/>
                <w:kern w:val="0"/>
                <w:szCs w:val="21"/>
                <w:highlight w:val="none"/>
                <w:lang w:val="en-US" w:eastAsia="zh-CN" w:bidi="ar"/>
              </w:rPr>
              <w:t>1</w:t>
            </w:r>
            <w:r>
              <w:rPr>
                <w:rFonts w:hint="eastAsia" w:ascii="宋体" w:hAnsi="宋体" w:cs="宋体"/>
                <w:kern w:val="0"/>
                <w:szCs w:val="21"/>
                <w:highlight w:val="none"/>
                <w:lang w:bidi="ar"/>
              </w:rPr>
              <w:t>月</w:t>
            </w:r>
            <w:r>
              <w:rPr>
                <w:rFonts w:hint="eastAsia" w:ascii="宋体" w:hAnsi="宋体" w:cs="宋体"/>
                <w:kern w:val="0"/>
                <w:szCs w:val="21"/>
                <w:highlight w:val="none"/>
                <w:lang w:val="en-US" w:eastAsia="zh-CN" w:bidi="ar"/>
              </w:rPr>
              <w:t>5</w:t>
            </w:r>
            <w:r>
              <w:rPr>
                <w:rFonts w:hint="eastAsia" w:ascii="宋体" w:hAnsi="宋体" w:cs="宋体"/>
                <w:kern w:val="0"/>
                <w:szCs w:val="21"/>
                <w:highlight w:val="none"/>
                <w:lang w:bidi="ar"/>
              </w:rPr>
              <w:t>日，每日上午9：30～11：00，下午14：00～16：30（北京时间，下同），持企业法人营业执照副本、单位介绍信、经办人身份证等上述资料复印件（指彩色扫描件或清晰复印件）一套，到浙江同欣工程管理有限公司（地址：杭州市西湖区古墩路701号绿城紫金广场C座9楼）报名并获取招标文件。</w:t>
            </w:r>
            <w:r>
              <w:rPr>
                <w:rFonts w:hint="eastAsia" w:ascii="宋体" w:hAnsi="宋体"/>
                <w:kern w:val="0"/>
                <w:szCs w:val="21"/>
                <w:highlight w:val="none"/>
              </w:rPr>
              <w:t>招标文件工本费：每套</w:t>
            </w:r>
            <w:r>
              <w:rPr>
                <w:rFonts w:hint="eastAsia" w:ascii="宋体" w:hAnsi="宋体"/>
                <w:kern w:val="0"/>
                <w:szCs w:val="21"/>
                <w:highlight w:val="none"/>
                <w:lang w:val="en-US" w:eastAsia="zh-CN"/>
              </w:rPr>
              <w:t>3</w:t>
            </w:r>
            <w:r>
              <w:rPr>
                <w:rFonts w:hint="eastAsia" w:ascii="宋体" w:hAnsi="宋体"/>
                <w:kern w:val="0"/>
                <w:szCs w:val="21"/>
                <w:highlight w:val="none"/>
              </w:rPr>
              <w:t>00元整，售后不退。</w:t>
            </w:r>
          </w:p>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bidi="ar"/>
              </w:rPr>
              <w:t>5.</w:t>
            </w:r>
            <w:r>
              <w:rPr>
                <w:rFonts w:hint="eastAsia" w:ascii="宋体" w:hAnsi="宋体" w:cs="宋体"/>
                <w:kern w:val="0"/>
                <w:szCs w:val="21"/>
                <w:highlight w:val="none"/>
                <w:lang w:val="en-US" w:eastAsia="zh-CN" w:bidi="ar"/>
              </w:rPr>
              <w:t>2</w:t>
            </w:r>
            <w:r>
              <w:rPr>
                <w:rFonts w:hint="eastAsia" w:ascii="宋体" w:hAnsi="宋体" w:cs="宋体"/>
                <w:kern w:val="0"/>
                <w:szCs w:val="21"/>
                <w:highlight w:val="none"/>
                <w:lang w:bidi="ar"/>
              </w:rPr>
              <w:t> 本项目允许网上报名，投标人可将上述报名资料的彩色扫描件发送至279213397@qq.com,并及时与招标代理机构联系报名事宜。</w:t>
            </w:r>
          </w:p>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5</w:t>
            </w:r>
            <w:r>
              <w:rPr>
                <w:rFonts w:hint="eastAsia" w:ascii="宋体" w:hAnsi="宋体" w:cs="宋体"/>
                <w:kern w:val="0"/>
                <w:szCs w:val="21"/>
                <w:highlight w:val="none"/>
                <w:lang w:val="en-US" w:eastAsia="zh-CN" w:bidi="ar"/>
              </w:rPr>
              <w:t>.3</w:t>
            </w:r>
            <w:r>
              <w:rPr>
                <w:rFonts w:hint="eastAsia" w:ascii="宋体" w:hAnsi="宋体" w:cs="宋体"/>
                <w:kern w:val="0"/>
                <w:szCs w:val="21"/>
                <w:highlight w:val="none"/>
                <w:lang w:bidi="ar"/>
              </w:rPr>
              <w:t> 各投标人若对招标文件等有疑义，请以电子邮件形式提交至招标代理单位邮箱，招标人将以书面形式统一答复给各投标人。邮箱：279213397@qq.com。</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eastAsia="宋体" w:cs="宋体"/>
                <w:kern w:val="0"/>
                <w:szCs w:val="21"/>
                <w:highlight w:val="none"/>
                <w:lang w:val="en-US" w:eastAsia="zh-CN" w:bidi="ar"/>
              </w:rPr>
            </w:pPr>
            <w:r>
              <w:rPr>
                <w:rFonts w:hint="eastAsia" w:ascii="宋体" w:hAnsi="宋体" w:cs="宋体"/>
                <w:b/>
                <w:kern w:val="0"/>
                <w:szCs w:val="21"/>
                <w:highlight w:val="none"/>
                <w:lang w:val="en-US" w:eastAsia="zh-CN" w:bidi="ar"/>
              </w:rPr>
              <w:t>6</w:t>
            </w:r>
            <w:r>
              <w:rPr>
                <w:rFonts w:hint="eastAsia" w:ascii="宋体" w:hAnsi="宋体" w:cs="宋体"/>
                <w:b/>
                <w:kern w:val="0"/>
                <w:szCs w:val="21"/>
                <w:highlight w:val="none"/>
                <w:lang w:bidi="ar"/>
              </w:rPr>
              <w:t>. 投标</w:t>
            </w:r>
            <w:r>
              <w:rPr>
                <w:rFonts w:hint="eastAsia" w:ascii="宋体" w:hAnsi="宋体" w:cs="宋体"/>
                <w:b/>
                <w:kern w:val="0"/>
                <w:szCs w:val="21"/>
                <w:highlight w:val="none"/>
                <w:lang w:val="en-US" w:eastAsia="zh-CN" w:bidi="ar"/>
              </w:rPr>
              <w:t>保证金</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val="en-US" w:eastAsia="zh-CN" w:bidi="ar"/>
              </w:rPr>
              <w:t xml:space="preserve">6.1 </w:t>
            </w:r>
            <w:r>
              <w:rPr>
                <w:rFonts w:hint="eastAsia" w:ascii="宋体" w:hAnsi="宋体" w:cs="宋体"/>
                <w:kern w:val="0"/>
                <w:szCs w:val="21"/>
                <w:highlight w:val="none"/>
                <w:lang w:bidi="ar"/>
              </w:rPr>
              <w:t>投标人应于投标截止时间前通过转账、电汇方式从投标人基本账户转入以下账户。投标保证金时的缴纳时间以到账时间为准，不接受现金。</w:t>
            </w:r>
          </w:p>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bidi="ar"/>
              </w:rPr>
              <w:t>收款单位开户名：浙江同欣工程管理有限公司;</w:t>
            </w:r>
          </w:p>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bidi="ar"/>
              </w:rPr>
              <w:t>保证金金额：10万元；</w:t>
            </w:r>
          </w:p>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bidi="ar"/>
              </w:rPr>
              <w:t>开户行：上海浦东发展银行杭州求是支行</w:t>
            </w:r>
          </w:p>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bidi="ar"/>
              </w:rPr>
              <w:t>账号：9518 0155 1000 00037（汇入时应注明招标标段名称）</w:t>
            </w:r>
          </w:p>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val="en-US" w:eastAsia="zh-CN" w:bidi="ar"/>
              </w:rPr>
              <w:t xml:space="preserve">6.2 </w:t>
            </w:r>
            <w:r>
              <w:rPr>
                <w:rFonts w:hint="eastAsia" w:ascii="宋体" w:hAnsi="宋体" w:cs="宋体"/>
                <w:kern w:val="0"/>
                <w:szCs w:val="21"/>
                <w:highlight w:val="none"/>
                <w:lang w:bidi="ar"/>
              </w:rPr>
              <w:t>投标保证金退还事宜：非中标候选人的投标保证金在中标通知书发出后5个工作日内退还，中标候选人的投标保证金在签订合同后5个工作日内退还。财务部电话：0571-87205398  汤小姐（有关投标保证金缴纳、退还事宜请联系财务部）</w:t>
            </w:r>
          </w:p>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val="en-US" w:eastAsia="zh-CN" w:bidi="ar"/>
              </w:rPr>
              <w:t xml:space="preserve">6.3 </w:t>
            </w:r>
            <w:r>
              <w:rPr>
                <w:rFonts w:hint="eastAsia" w:ascii="宋体" w:hAnsi="宋体" w:cs="宋体"/>
                <w:kern w:val="0"/>
                <w:szCs w:val="21"/>
                <w:highlight w:val="none"/>
                <w:lang w:bidi="ar"/>
              </w:rPr>
              <w:t>投标保证金不予退还的情形：</w:t>
            </w:r>
          </w:p>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eastAsia="zh-CN" w:bidi="ar"/>
              </w:rPr>
              <w:t>（</w:t>
            </w:r>
            <w:r>
              <w:rPr>
                <w:rFonts w:hint="eastAsia" w:ascii="宋体" w:hAnsi="宋体" w:cs="宋体"/>
                <w:kern w:val="0"/>
                <w:szCs w:val="21"/>
                <w:highlight w:val="none"/>
                <w:lang w:val="en-US" w:eastAsia="zh-CN" w:bidi="ar"/>
              </w:rPr>
              <w:t>1</w:t>
            </w:r>
            <w:r>
              <w:rPr>
                <w:rFonts w:hint="eastAsia" w:ascii="宋体" w:hAnsi="宋体" w:cs="宋体"/>
                <w:kern w:val="0"/>
                <w:szCs w:val="21"/>
                <w:highlight w:val="none"/>
                <w:lang w:eastAsia="zh-CN" w:bidi="ar"/>
              </w:rPr>
              <w:t>）</w:t>
            </w:r>
            <w:r>
              <w:rPr>
                <w:rFonts w:hint="eastAsia" w:ascii="宋体" w:hAnsi="宋体" w:cs="宋体"/>
                <w:kern w:val="0"/>
                <w:szCs w:val="21"/>
                <w:highlight w:val="none"/>
                <w:lang w:bidi="ar"/>
              </w:rPr>
              <w:t>投标人在投标有效期内撤销或修改其投标文件。</w:t>
            </w:r>
          </w:p>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eastAsia="zh-CN" w:bidi="ar"/>
              </w:rPr>
              <w:t>（</w:t>
            </w:r>
            <w:r>
              <w:rPr>
                <w:rFonts w:hint="eastAsia" w:ascii="宋体" w:hAnsi="宋体" w:cs="宋体"/>
                <w:kern w:val="0"/>
                <w:szCs w:val="21"/>
                <w:highlight w:val="none"/>
                <w:lang w:val="en-US" w:eastAsia="zh-CN" w:bidi="ar"/>
              </w:rPr>
              <w:t>2</w:t>
            </w:r>
            <w:r>
              <w:rPr>
                <w:rFonts w:hint="eastAsia" w:ascii="宋体" w:hAnsi="宋体" w:cs="宋体"/>
                <w:kern w:val="0"/>
                <w:szCs w:val="21"/>
                <w:highlight w:val="none"/>
                <w:lang w:eastAsia="zh-CN" w:bidi="ar"/>
              </w:rPr>
              <w:t>）</w:t>
            </w:r>
            <w:r>
              <w:rPr>
                <w:rFonts w:hint="eastAsia" w:ascii="宋体" w:hAnsi="宋体" w:cs="宋体"/>
                <w:kern w:val="0"/>
                <w:szCs w:val="21"/>
                <w:highlight w:val="none"/>
                <w:lang w:bidi="ar"/>
              </w:rPr>
              <w:t>中标人无正当理由不与招标人订立合同，或在签订合同时向招标人提出附加条件，或未按招标文件要求提交履约保证金的。</w:t>
            </w:r>
          </w:p>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eastAsia="zh-CN" w:bidi="ar"/>
              </w:rPr>
              <w:t>（</w:t>
            </w:r>
            <w:r>
              <w:rPr>
                <w:rFonts w:hint="eastAsia" w:ascii="宋体" w:hAnsi="宋体" w:cs="宋体"/>
                <w:kern w:val="0"/>
                <w:szCs w:val="21"/>
                <w:highlight w:val="none"/>
                <w:lang w:val="en-US" w:eastAsia="zh-CN" w:bidi="ar"/>
              </w:rPr>
              <w:t>3</w:t>
            </w:r>
            <w:r>
              <w:rPr>
                <w:rFonts w:hint="eastAsia" w:ascii="宋体" w:hAnsi="宋体" w:cs="宋体"/>
                <w:kern w:val="0"/>
                <w:szCs w:val="21"/>
                <w:highlight w:val="none"/>
                <w:lang w:eastAsia="zh-CN" w:bidi="ar"/>
              </w:rPr>
              <w:t>）</w:t>
            </w:r>
            <w:r>
              <w:rPr>
                <w:rFonts w:hint="eastAsia" w:ascii="宋体" w:hAnsi="宋体" w:cs="宋体"/>
                <w:kern w:val="0"/>
                <w:szCs w:val="21"/>
                <w:highlight w:val="none"/>
                <w:lang w:bidi="ar"/>
              </w:rPr>
              <w:t>经查实，投标人在投标过程中串通投标或弄虚作假的。</w:t>
            </w:r>
          </w:p>
          <w:p>
            <w:pPr>
              <w:widowControl/>
              <w:spacing w:line="360" w:lineRule="auto"/>
              <w:jc w:val="left"/>
              <w:rPr>
                <w:rFonts w:hint="eastAsia" w:ascii="宋体" w:hAnsi="宋体" w:cs="宋体"/>
                <w:kern w:val="0"/>
                <w:szCs w:val="21"/>
                <w:highlight w:val="none"/>
                <w:lang w:bidi="ar"/>
              </w:rPr>
            </w:pPr>
            <w:r>
              <w:rPr>
                <w:rFonts w:hint="eastAsia" w:ascii="宋体" w:hAnsi="宋体" w:cs="宋体"/>
                <w:kern w:val="0"/>
                <w:szCs w:val="21"/>
                <w:highlight w:val="none"/>
                <w:lang w:bidi="ar"/>
              </w:rPr>
              <w:t>出现上述不予退还情形的，招标人告知代理公司登记后，代理公司将自动划转其投标保证金至招标人指定账户，不再退还给投标人。</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b/>
                <w:szCs w:val="21"/>
                <w:highlight w:val="none"/>
              </w:rPr>
            </w:pPr>
            <w:r>
              <w:rPr>
                <w:rFonts w:hint="eastAsia" w:ascii="宋体" w:hAnsi="宋体" w:cs="宋体"/>
                <w:b/>
                <w:kern w:val="0"/>
                <w:szCs w:val="21"/>
                <w:highlight w:val="none"/>
                <w:lang w:val="en-US" w:eastAsia="zh-CN" w:bidi="ar"/>
              </w:rPr>
              <w:t>7</w:t>
            </w:r>
            <w:r>
              <w:rPr>
                <w:rFonts w:hint="eastAsia" w:ascii="宋体" w:hAnsi="宋体" w:cs="宋体"/>
                <w:b/>
                <w:kern w:val="0"/>
                <w:szCs w:val="21"/>
                <w:highlight w:val="none"/>
                <w:lang w:bidi="ar"/>
              </w:rPr>
              <w:t>. 投标文件的递交</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ind w:firstLine="420" w:firstLineChars="200"/>
              <w:jc w:val="left"/>
              <w:rPr>
                <w:rFonts w:hint="eastAsia" w:ascii="宋体" w:hAnsi="宋体" w:cs="宋体"/>
                <w:kern w:val="0"/>
                <w:szCs w:val="21"/>
                <w:highlight w:val="none"/>
                <w:lang w:bidi="ar"/>
              </w:rPr>
            </w:pPr>
            <w:r>
              <w:rPr>
                <w:rFonts w:hint="eastAsia" w:ascii="宋体" w:hAnsi="宋体" w:cs="宋体"/>
                <w:kern w:val="0"/>
                <w:szCs w:val="21"/>
                <w:highlight w:val="none"/>
                <w:lang w:bidi="ar"/>
              </w:rPr>
              <w:t>根据疫情防控需要，本项目不要求投标人至开标现场参加开标及开启投标文件活动。应在2021年</w:t>
            </w:r>
            <w:r>
              <w:rPr>
                <w:rFonts w:hint="eastAsia" w:ascii="宋体" w:hAnsi="宋体" w:cs="宋体"/>
                <w:kern w:val="0"/>
                <w:szCs w:val="21"/>
                <w:highlight w:val="none"/>
                <w:lang w:val="en-US" w:eastAsia="zh-CN" w:bidi="ar"/>
              </w:rPr>
              <w:t>1</w:t>
            </w:r>
            <w:r>
              <w:rPr>
                <w:rFonts w:hint="eastAsia" w:ascii="宋体" w:hAnsi="宋体" w:cs="宋体"/>
                <w:kern w:val="0"/>
                <w:szCs w:val="21"/>
                <w:highlight w:val="none"/>
                <w:lang w:bidi="ar"/>
              </w:rPr>
              <w:t>月</w:t>
            </w:r>
            <w:r>
              <w:rPr>
                <w:rFonts w:hint="eastAsia" w:ascii="宋体" w:hAnsi="宋体" w:cs="宋体"/>
                <w:kern w:val="0"/>
                <w:szCs w:val="21"/>
                <w:highlight w:val="none"/>
                <w:lang w:val="en-US" w:eastAsia="zh-CN" w:bidi="ar"/>
              </w:rPr>
              <w:t>5</w:t>
            </w:r>
            <w:r>
              <w:rPr>
                <w:rFonts w:hint="eastAsia" w:ascii="宋体" w:hAnsi="宋体" w:cs="宋体"/>
                <w:kern w:val="0"/>
                <w:szCs w:val="21"/>
                <w:highlight w:val="none"/>
                <w:lang w:bidi="ar"/>
              </w:rPr>
              <w:t>日9时30分前（邮寄的以签收时间为准）通过邮寄快递或直接送达方式将投标文件送至浙江省嘉兴市秦逸路32号华隆广场一号楼18楼浙江省嘉兴市誉天公证处，收件人： 陆晨缘 ，联系电话： 15958151680 ，由浙江省嘉兴市誉天公证处做好投标文件交接签收记录、并及时告知投标人。以邮寄快递方式递交投标文件的，建议使用顺丰或EMS。快递寄出后，投标人须将投标人名称和快递运单号发送至陆晨缘处，并自行与其进行确认，未进行确认的后果须投标人自行承担，快递拒绝到付。投标人应充分考虑疫情对邮寄的影响，邮寄过程中可能产生的所有不利于投标人的因素均由投标人自行承担相应风险。截止至投标截止时间，投标文件未寄达或送达上述指定地点的，视作放弃投标，由投标人自行承担责任。</w:t>
            </w:r>
          </w:p>
          <w:p>
            <w:pPr>
              <w:widowControl/>
              <w:spacing w:line="360" w:lineRule="auto"/>
              <w:ind w:firstLine="420" w:firstLineChars="200"/>
              <w:jc w:val="left"/>
              <w:rPr>
                <w:rFonts w:hint="eastAsia" w:ascii="宋体" w:hAnsi="宋体" w:cs="宋体"/>
                <w:szCs w:val="21"/>
                <w:highlight w:val="none"/>
              </w:rPr>
            </w:pPr>
            <w:r>
              <w:rPr>
                <w:rFonts w:hint="eastAsia" w:ascii="宋体" w:hAnsi="宋体" w:cs="宋体"/>
                <w:kern w:val="0"/>
                <w:szCs w:val="21"/>
                <w:highlight w:val="none"/>
                <w:lang w:bidi="ar"/>
              </w:rPr>
              <w:t xml:space="preserve">各投标人寄件或送达时，请务必提供投标文件中法人代表或授权代表的手机号码、邮箱等联系方式（联系方式须另附纸张与投标文件一起邮寄），以供评标委员会在评审过程中需投标人对投标文件作出澄清、说明或者补正时联系，评标委员会可要求投标人在接到电话通知后1小时内通过电子邮件、电话录音、微信、QQ等形式作出回复。 </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b/>
                <w:szCs w:val="21"/>
                <w:highlight w:val="none"/>
              </w:rPr>
            </w:pPr>
            <w:r>
              <w:rPr>
                <w:rFonts w:hint="eastAsia" w:ascii="宋体" w:hAnsi="宋体" w:cs="宋体"/>
                <w:b/>
                <w:kern w:val="0"/>
                <w:szCs w:val="21"/>
                <w:highlight w:val="none"/>
                <w:lang w:val="en-US" w:eastAsia="zh-CN" w:bidi="ar"/>
              </w:rPr>
              <w:t>8</w:t>
            </w:r>
            <w:r>
              <w:rPr>
                <w:rFonts w:hint="eastAsia" w:ascii="宋体" w:hAnsi="宋体" w:cs="宋体"/>
                <w:b/>
                <w:kern w:val="0"/>
                <w:szCs w:val="21"/>
                <w:highlight w:val="none"/>
                <w:lang w:bidi="ar"/>
              </w:rPr>
              <w:t>. 发布公告的媒介</w:t>
            </w:r>
          </w:p>
        </w:tc>
      </w:tr>
      <w:tr>
        <w:tblPrEx>
          <w:tblCellMar>
            <w:top w:w="15" w:type="dxa"/>
            <w:left w:w="15" w:type="dxa"/>
            <w:bottom w:w="15" w:type="dxa"/>
            <w:right w:w="15" w:type="dxa"/>
          </w:tblCellMar>
        </w:tblPrEx>
        <w:trPr>
          <w:trHeight w:val="1177" w:hRule="atLeast"/>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 xml:space="preserve">  本次招标公告同时在嘉兴市公共资源交易中心网站（http://jxszwsjb.jiaxing.gov.cn）和嘉兴市交通投资集团有限责任公司网站（http://www.jxjtjt.cn/）上发布。 </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p>
            <w:pPr>
              <w:widowControl/>
              <w:spacing w:line="360" w:lineRule="auto"/>
              <w:jc w:val="left"/>
              <w:rPr>
                <w:rFonts w:hint="eastAsia" w:ascii="宋体" w:hAnsi="宋体" w:cs="宋体"/>
                <w:b/>
                <w:szCs w:val="21"/>
                <w:highlight w:val="none"/>
              </w:rPr>
            </w:pPr>
            <w:r>
              <w:rPr>
                <w:rFonts w:hint="eastAsia" w:ascii="宋体" w:hAnsi="宋体" w:cs="宋体"/>
                <w:b/>
                <w:kern w:val="0"/>
                <w:szCs w:val="21"/>
                <w:highlight w:val="none"/>
                <w:lang w:val="en-US" w:eastAsia="zh-CN" w:bidi="ar"/>
              </w:rPr>
              <w:t>9</w:t>
            </w:r>
            <w:r>
              <w:rPr>
                <w:rFonts w:hint="eastAsia" w:ascii="宋体" w:hAnsi="宋体" w:cs="宋体"/>
                <w:b/>
                <w:kern w:val="0"/>
                <w:szCs w:val="21"/>
                <w:highlight w:val="none"/>
                <w:lang w:bidi="ar"/>
              </w:rPr>
              <w:t>. 联系方式</w:t>
            </w:r>
          </w:p>
        </w:tc>
      </w:tr>
      <w:tr>
        <w:tblPrEx>
          <w:tblCellMar>
            <w:top w:w="15" w:type="dxa"/>
            <w:left w:w="15" w:type="dxa"/>
            <w:bottom w:w="15" w:type="dxa"/>
            <w:right w:w="15" w:type="dxa"/>
          </w:tblCellMar>
        </w:tblPrEx>
        <w:trPr>
          <w:jc w:val="center"/>
        </w:trPr>
        <w:tc>
          <w:tcPr>
            <w:tcW w:w="9806" w:type="dxa"/>
            <w:noWrap w:val="0"/>
            <w:tcMar>
              <w:top w:w="0" w:type="dxa"/>
              <w:left w:w="0" w:type="dxa"/>
              <w:bottom w:w="0" w:type="dxa"/>
              <w:right w:w="0" w:type="dxa"/>
            </w:tcMar>
            <w:vAlign w:val="center"/>
          </w:tcPr>
          <w:tbl>
            <w:tblPr>
              <w:tblStyle w:val="2"/>
              <w:tblW w:w="11000" w:type="dxa"/>
              <w:tblInd w:w="0" w:type="dxa"/>
              <w:tblLayout w:type="fixed"/>
              <w:tblCellMar>
                <w:top w:w="15" w:type="dxa"/>
                <w:left w:w="15" w:type="dxa"/>
                <w:bottom w:w="15" w:type="dxa"/>
                <w:right w:w="15" w:type="dxa"/>
              </w:tblCellMar>
            </w:tblPr>
            <w:tblGrid>
              <w:gridCol w:w="4791"/>
              <w:gridCol w:w="6209"/>
            </w:tblGrid>
            <w:tr>
              <w:tblPrEx>
                <w:tblCellMar>
                  <w:top w:w="15" w:type="dxa"/>
                  <w:left w:w="15" w:type="dxa"/>
                  <w:bottom w:w="15" w:type="dxa"/>
                  <w:right w:w="15" w:type="dxa"/>
                </w:tblCellMar>
              </w:tblPrEx>
              <w:tc>
                <w:tcPr>
                  <w:tcW w:w="4791" w:type="dxa"/>
                  <w:noWrap w:val="0"/>
                  <w:tcMar>
                    <w:top w:w="0" w:type="dxa"/>
                    <w:left w:w="0" w:type="dxa"/>
                    <w:bottom w:w="0" w:type="dxa"/>
                    <w:right w:w="0" w:type="dxa"/>
                  </w:tcMar>
                  <w:vAlign w:val="center"/>
                </w:tcPr>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招 标 人：</w:t>
                  </w:r>
                  <w:r>
                    <w:rPr>
                      <w:rFonts w:hint="eastAsia" w:ascii="宋体" w:hAnsi="宋体" w:cs="宋体"/>
                      <w:kern w:val="0"/>
                      <w:szCs w:val="21"/>
                      <w:highlight w:val="none"/>
                      <w:u w:val="single"/>
                      <w:lang w:bidi="ar"/>
                    </w:rPr>
                    <w:t>嘉兴市快速路建设发展有限公司</w:t>
                  </w:r>
                </w:p>
              </w:tc>
              <w:tc>
                <w:tcPr>
                  <w:tcW w:w="6209" w:type="dxa"/>
                  <w:noWrap w:val="0"/>
                  <w:tcMar>
                    <w:top w:w="0" w:type="dxa"/>
                    <w:left w:w="0" w:type="dxa"/>
                    <w:bottom w:w="0" w:type="dxa"/>
                    <w:right w:w="0" w:type="dxa"/>
                  </w:tcMar>
                  <w:vAlign w:val="center"/>
                </w:tcPr>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招标代理机构：</w:t>
                  </w:r>
                  <w:r>
                    <w:rPr>
                      <w:rFonts w:hint="eastAsia" w:ascii="宋体" w:hAnsi="宋体" w:cs="宋体"/>
                      <w:kern w:val="0"/>
                      <w:szCs w:val="21"/>
                      <w:highlight w:val="none"/>
                      <w:u w:val="single"/>
                      <w:lang w:bidi="ar"/>
                    </w:rPr>
                    <w:t>浙江同欣工程管理有限公司</w:t>
                  </w:r>
                </w:p>
              </w:tc>
            </w:tr>
            <w:tr>
              <w:tblPrEx>
                <w:tblCellMar>
                  <w:top w:w="15" w:type="dxa"/>
                  <w:left w:w="15" w:type="dxa"/>
                  <w:bottom w:w="15" w:type="dxa"/>
                  <w:right w:w="15" w:type="dxa"/>
                </w:tblCellMar>
              </w:tblPrEx>
              <w:tc>
                <w:tcPr>
                  <w:tcW w:w="4791" w:type="dxa"/>
                  <w:noWrap w:val="0"/>
                  <w:tcMar>
                    <w:top w:w="0" w:type="dxa"/>
                    <w:left w:w="0" w:type="dxa"/>
                    <w:bottom w:w="0" w:type="dxa"/>
                    <w:right w:w="0" w:type="dxa"/>
                  </w:tcMar>
                  <w:vAlign w:val="center"/>
                </w:tcPr>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联 系 人：</w:t>
                  </w:r>
                  <w:r>
                    <w:rPr>
                      <w:rFonts w:hint="eastAsia" w:ascii="宋体" w:hAnsi="宋体" w:cs="宋体"/>
                      <w:kern w:val="0"/>
                      <w:szCs w:val="21"/>
                      <w:highlight w:val="none"/>
                      <w:u w:val="single"/>
                      <w:lang w:bidi="ar"/>
                    </w:rPr>
                    <w:t>朱先生</w:t>
                  </w:r>
                </w:p>
              </w:tc>
              <w:tc>
                <w:tcPr>
                  <w:tcW w:w="6209" w:type="dxa"/>
                  <w:noWrap w:val="0"/>
                  <w:tcMar>
                    <w:top w:w="0" w:type="dxa"/>
                    <w:left w:w="0" w:type="dxa"/>
                    <w:bottom w:w="0" w:type="dxa"/>
                    <w:right w:w="0" w:type="dxa"/>
                  </w:tcMar>
                  <w:vAlign w:val="center"/>
                </w:tcPr>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联 系 人：</w:t>
                  </w:r>
                  <w:r>
                    <w:rPr>
                      <w:rFonts w:hint="eastAsia" w:ascii="宋体" w:hAnsi="宋体" w:cs="宋体"/>
                      <w:kern w:val="0"/>
                      <w:szCs w:val="21"/>
                      <w:highlight w:val="none"/>
                      <w:u w:val="single"/>
                      <w:lang w:bidi="ar"/>
                    </w:rPr>
                    <w:t>陶安、蔡宏涛</w:t>
                  </w:r>
                </w:p>
              </w:tc>
            </w:tr>
            <w:tr>
              <w:tblPrEx>
                <w:tblCellMar>
                  <w:top w:w="15" w:type="dxa"/>
                  <w:left w:w="15" w:type="dxa"/>
                  <w:bottom w:w="15" w:type="dxa"/>
                  <w:right w:w="15" w:type="dxa"/>
                </w:tblCellMar>
              </w:tblPrEx>
              <w:tc>
                <w:tcPr>
                  <w:tcW w:w="4791" w:type="dxa"/>
                  <w:noWrap w:val="0"/>
                  <w:tcMar>
                    <w:top w:w="0" w:type="dxa"/>
                    <w:left w:w="0" w:type="dxa"/>
                    <w:bottom w:w="0" w:type="dxa"/>
                    <w:right w:w="0" w:type="dxa"/>
                  </w:tcMar>
                  <w:vAlign w:val="center"/>
                </w:tcPr>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电 话：</w:t>
                  </w:r>
                  <w:r>
                    <w:rPr>
                      <w:rFonts w:ascii="宋体" w:hAnsi="宋体" w:cs="宋体"/>
                      <w:kern w:val="0"/>
                      <w:szCs w:val="21"/>
                      <w:highlight w:val="none"/>
                      <w:u w:val="single"/>
                      <w:lang w:bidi="ar"/>
                    </w:rPr>
                    <w:t>0573-82622257</w:t>
                  </w:r>
                </w:p>
              </w:tc>
              <w:tc>
                <w:tcPr>
                  <w:tcW w:w="6209" w:type="dxa"/>
                  <w:noWrap w:val="0"/>
                  <w:tcMar>
                    <w:top w:w="0" w:type="dxa"/>
                    <w:left w:w="0" w:type="dxa"/>
                    <w:bottom w:w="0" w:type="dxa"/>
                    <w:right w:w="0" w:type="dxa"/>
                  </w:tcMar>
                  <w:vAlign w:val="center"/>
                </w:tcPr>
                <w:p>
                  <w:pPr>
                    <w:widowControl/>
                    <w:spacing w:line="360" w:lineRule="auto"/>
                    <w:jc w:val="left"/>
                    <w:rPr>
                      <w:rFonts w:hint="eastAsia" w:ascii="宋体" w:hAnsi="宋体" w:cs="宋体"/>
                      <w:szCs w:val="21"/>
                      <w:highlight w:val="none"/>
                    </w:rPr>
                  </w:pPr>
                  <w:r>
                    <w:rPr>
                      <w:rFonts w:hint="eastAsia" w:ascii="宋体" w:hAnsi="宋体" w:cs="宋体"/>
                      <w:kern w:val="0"/>
                      <w:szCs w:val="21"/>
                      <w:highlight w:val="none"/>
                      <w:lang w:bidi="ar"/>
                    </w:rPr>
                    <w:t>电 话：</w:t>
                  </w:r>
                  <w:r>
                    <w:rPr>
                      <w:rFonts w:hint="eastAsia" w:ascii="宋体" w:hAnsi="宋体" w:cs="宋体"/>
                      <w:kern w:val="0"/>
                      <w:szCs w:val="21"/>
                      <w:highlight w:val="none"/>
                      <w:u w:val="single"/>
                      <w:lang w:bidi="ar"/>
                    </w:rPr>
                    <w:t xml:space="preserve"> 17758168086</w:t>
                  </w:r>
                </w:p>
              </w:tc>
            </w:tr>
            <w:tr>
              <w:tblPrEx>
                <w:tblCellMar>
                  <w:top w:w="15" w:type="dxa"/>
                  <w:left w:w="15" w:type="dxa"/>
                  <w:bottom w:w="15" w:type="dxa"/>
                  <w:right w:w="15" w:type="dxa"/>
                </w:tblCellMar>
              </w:tblPrEx>
              <w:tc>
                <w:tcPr>
                  <w:tcW w:w="4791" w:type="dxa"/>
                  <w:noWrap w:val="0"/>
                  <w:tcMar>
                    <w:top w:w="0" w:type="dxa"/>
                    <w:left w:w="0" w:type="dxa"/>
                    <w:bottom w:w="0" w:type="dxa"/>
                    <w:right w:w="0" w:type="dxa"/>
                  </w:tcMar>
                  <w:vAlign w:val="center"/>
                </w:tcPr>
                <w:p>
                  <w:pPr>
                    <w:widowControl/>
                    <w:spacing w:line="360" w:lineRule="auto"/>
                    <w:jc w:val="left"/>
                    <w:rPr>
                      <w:rFonts w:hint="eastAsia" w:ascii="宋体" w:hAnsi="宋体" w:cs="宋体"/>
                      <w:kern w:val="0"/>
                      <w:szCs w:val="21"/>
                      <w:highlight w:val="none"/>
                      <w:u w:val="single"/>
                      <w:lang w:bidi="ar"/>
                    </w:rPr>
                  </w:pPr>
                  <w:r>
                    <w:rPr>
                      <w:rFonts w:hint="eastAsia" w:ascii="宋体" w:hAnsi="宋体" w:cs="宋体"/>
                      <w:kern w:val="0"/>
                      <w:szCs w:val="21"/>
                      <w:highlight w:val="none"/>
                      <w:lang w:bidi="ar"/>
                    </w:rPr>
                    <w:t>地 址：</w:t>
                  </w:r>
                  <w:r>
                    <w:rPr>
                      <w:rFonts w:hint="eastAsia" w:ascii="宋体" w:hAnsi="宋体" w:cs="宋体"/>
                      <w:kern w:val="0"/>
                      <w:szCs w:val="21"/>
                      <w:highlight w:val="none"/>
                      <w:u w:val="single"/>
                      <w:lang w:bidi="ar"/>
                    </w:rPr>
                    <w:t>嘉兴市由拳路309号紫御大厦301室</w:t>
                  </w:r>
                </w:p>
                <w:p>
                  <w:pPr>
                    <w:widowControl/>
                    <w:spacing w:line="360" w:lineRule="auto"/>
                    <w:jc w:val="left"/>
                    <w:rPr>
                      <w:rFonts w:hint="eastAsia" w:ascii="宋体" w:hAnsi="宋体" w:eastAsia="宋体" w:cs="宋体"/>
                      <w:szCs w:val="21"/>
                      <w:highlight w:val="none"/>
                      <w:lang w:val="en-US" w:eastAsia="zh-CN"/>
                    </w:rPr>
                  </w:pPr>
                  <w:r>
                    <w:rPr>
                      <w:rFonts w:hint="eastAsia" w:ascii="宋体" w:hAnsi="宋体" w:cs="宋体"/>
                      <w:szCs w:val="21"/>
                      <w:highlight w:val="none"/>
                    </w:rPr>
                    <w:t>电子邮件：</w:t>
                  </w:r>
                  <w:r>
                    <w:rPr>
                      <w:rFonts w:hint="eastAsia" w:ascii="宋体" w:hAnsi="宋体" w:cs="宋体"/>
                      <w:szCs w:val="21"/>
                      <w:highlight w:val="none"/>
                      <w:lang w:val="en-US" w:eastAsia="zh-CN"/>
                    </w:rPr>
                    <w:t>/</w:t>
                  </w:r>
                </w:p>
              </w:tc>
              <w:tc>
                <w:tcPr>
                  <w:tcW w:w="6209" w:type="dxa"/>
                  <w:noWrap w:val="0"/>
                  <w:tcMar>
                    <w:top w:w="0" w:type="dxa"/>
                    <w:left w:w="0" w:type="dxa"/>
                    <w:bottom w:w="0" w:type="dxa"/>
                    <w:right w:w="0" w:type="dxa"/>
                  </w:tcMar>
                  <w:vAlign w:val="center"/>
                </w:tcPr>
                <w:p>
                  <w:pPr>
                    <w:widowControl/>
                    <w:spacing w:line="360" w:lineRule="auto"/>
                    <w:jc w:val="left"/>
                    <w:rPr>
                      <w:rFonts w:hint="eastAsia" w:ascii="宋体" w:hAnsi="宋体" w:cs="宋体"/>
                      <w:kern w:val="0"/>
                      <w:szCs w:val="21"/>
                      <w:highlight w:val="none"/>
                      <w:u w:val="single"/>
                      <w:lang w:bidi="ar"/>
                    </w:rPr>
                  </w:pPr>
                  <w:r>
                    <w:rPr>
                      <w:rFonts w:hint="eastAsia" w:ascii="宋体" w:hAnsi="宋体" w:cs="宋体"/>
                      <w:kern w:val="0"/>
                      <w:szCs w:val="21"/>
                      <w:highlight w:val="none"/>
                      <w:lang w:bidi="ar"/>
                    </w:rPr>
                    <w:t>地 址：</w:t>
                  </w:r>
                  <w:r>
                    <w:rPr>
                      <w:rFonts w:hint="eastAsia" w:ascii="宋体" w:hAnsi="宋体" w:cs="宋体"/>
                      <w:kern w:val="0"/>
                      <w:szCs w:val="21"/>
                      <w:highlight w:val="none"/>
                      <w:u w:val="single"/>
                      <w:lang w:bidi="ar"/>
                    </w:rPr>
                    <w:t>杭州市古墩路申花路口绿城紫金广场C座9楼</w:t>
                  </w:r>
                </w:p>
                <w:p>
                  <w:pPr>
                    <w:widowControl/>
                    <w:spacing w:line="360" w:lineRule="auto"/>
                    <w:jc w:val="left"/>
                    <w:rPr>
                      <w:rFonts w:hint="eastAsia" w:ascii="宋体" w:hAnsi="宋体" w:cs="宋体"/>
                      <w:kern w:val="0"/>
                      <w:szCs w:val="21"/>
                      <w:highlight w:val="none"/>
                      <w:u w:val="single"/>
                      <w:lang w:bidi="ar"/>
                    </w:rPr>
                  </w:pPr>
                  <w:r>
                    <w:rPr>
                      <w:rFonts w:hint="eastAsia" w:ascii="宋体" w:hAnsi="宋体" w:cs="宋体"/>
                      <w:szCs w:val="21"/>
                      <w:highlight w:val="none"/>
                    </w:rPr>
                    <w:t>电子邮件：</w:t>
                  </w:r>
                  <w:r>
                    <w:rPr>
                      <w:szCs w:val="21"/>
                      <w:highlight w:val="none"/>
                      <w:u w:val="single"/>
                    </w:rPr>
                    <w:t>279213397@qq.com</w:t>
                  </w:r>
                </w:p>
              </w:tc>
            </w:tr>
          </w:tbl>
          <w:p>
            <w:pPr>
              <w:widowControl/>
              <w:spacing w:line="360" w:lineRule="auto"/>
              <w:rPr>
                <w:rFonts w:hint="eastAsia" w:ascii="宋体" w:hAnsi="宋体" w:cs="宋体"/>
                <w:szCs w:val="21"/>
                <w:highlight w:val="none"/>
              </w:rPr>
            </w:pPr>
          </w:p>
        </w:tc>
      </w:tr>
      <w:tr>
        <w:tblPrEx>
          <w:tblCellMar>
            <w:top w:w="15" w:type="dxa"/>
            <w:left w:w="15" w:type="dxa"/>
            <w:bottom w:w="15" w:type="dxa"/>
            <w:right w:w="15" w:type="dxa"/>
          </w:tblCellMar>
        </w:tblPrEx>
        <w:trPr>
          <w:trHeight w:val="612" w:hRule="atLeast"/>
          <w:jc w:val="center"/>
        </w:trPr>
        <w:tc>
          <w:tcPr>
            <w:tcW w:w="9806" w:type="dxa"/>
            <w:noWrap w:val="0"/>
            <w:tcMar>
              <w:top w:w="0" w:type="dxa"/>
              <w:left w:w="0" w:type="dxa"/>
              <w:bottom w:w="0" w:type="dxa"/>
              <w:right w:w="0" w:type="dxa"/>
            </w:tcMar>
            <w:vAlign w:val="center"/>
          </w:tcPr>
          <w:p>
            <w:pPr>
              <w:widowControl/>
              <w:spacing w:line="12" w:lineRule="atLeast"/>
              <w:jc w:val="both"/>
              <w:rPr>
                <w:rFonts w:hint="eastAsia" w:ascii="宋体" w:hAnsi="宋体" w:cs="宋体"/>
                <w:kern w:val="0"/>
                <w:szCs w:val="21"/>
                <w:highlight w:val="none"/>
                <w:lang w:bidi="ar"/>
              </w:rPr>
            </w:pPr>
          </w:p>
          <w:p>
            <w:pPr>
              <w:widowControl/>
              <w:spacing w:line="12" w:lineRule="atLeast"/>
              <w:jc w:val="right"/>
              <w:rPr>
                <w:rFonts w:hint="eastAsia" w:ascii="宋体" w:hAnsi="宋体" w:cs="宋体"/>
                <w:szCs w:val="21"/>
                <w:highlight w:val="none"/>
              </w:rPr>
            </w:pPr>
            <w:r>
              <w:rPr>
                <w:rFonts w:hint="eastAsia" w:ascii="宋体" w:hAnsi="宋体" w:cs="宋体"/>
                <w:kern w:val="0"/>
                <w:szCs w:val="21"/>
                <w:highlight w:val="none"/>
                <w:u w:val="none"/>
                <w:lang w:bidi="ar"/>
              </w:rPr>
              <w:t>2021年</w:t>
            </w:r>
            <w:r>
              <w:rPr>
                <w:rFonts w:hint="eastAsia" w:ascii="宋体" w:hAnsi="宋体" w:cs="宋体"/>
                <w:kern w:val="0"/>
                <w:szCs w:val="21"/>
                <w:highlight w:val="none"/>
                <w:u w:val="none"/>
                <w:lang w:val="en-US" w:eastAsia="zh-CN" w:bidi="ar"/>
              </w:rPr>
              <w:t>12</w:t>
            </w:r>
            <w:r>
              <w:rPr>
                <w:rFonts w:hint="eastAsia" w:ascii="宋体" w:hAnsi="宋体" w:cs="宋体"/>
                <w:kern w:val="0"/>
                <w:szCs w:val="21"/>
                <w:highlight w:val="none"/>
                <w:u w:val="none"/>
                <w:lang w:bidi="ar"/>
              </w:rPr>
              <w:t>月</w:t>
            </w:r>
            <w:r>
              <w:rPr>
                <w:rFonts w:hint="eastAsia" w:ascii="宋体" w:hAnsi="宋体" w:cs="宋体"/>
                <w:kern w:val="0"/>
                <w:szCs w:val="21"/>
                <w:highlight w:val="none"/>
                <w:u w:val="none"/>
                <w:lang w:val="en-US" w:eastAsia="zh-CN" w:bidi="ar"/>
              </w:rPr>
              <w:t>14</w:t>
            </w:r>
            <w:r>
              <w:rPr>
                <w:rFonts w:hint="eastAsia" w:ascii="宋体" w:hAnsi="宋体" w:cs="宋体"/>
                <w:kern w:val="0"/>
                <w:szCs w:val="21"/>
                <w:highlight w:val="none"/>
                <w:u w:val="none"/>
                <w:lang w:bidi="ar"/>
              </w:rPr>
              <w:t xml:space="preserve">日 </w:t>
            </w:r>
          </w:p>
        </w:tc>
      </w:tr>
      <w:bookmarkEnd w:id="0"/>
    </w:tbl>
    <w:p>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C4495B"/>
    <w:rsid w:val="70D23E0D"/>
    <w:rsid w:val="766C31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2021-12-14T00:36:00Z</dcterms:created>
  <dc:creator>BH004</dc:creator>
  <cp:lastModifiedBy>BH004</cp:lastModifiedBy>
  <dcterms:modified xsi:type="dcterms:W3CDTF">2021-12-14T07:10:26Z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7476DDAFD3EA4DBD8508A8D4AD55F5FF</vt:lpwstr>
  </property>
</Properties>
</file>